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6"/>
          <w:szCs w:val="26"/>
        </w:rPr>
      </w:pPr>
      <w:r>
        <w:rPr>
          <w:b/>
          <w:sz w:val="22"/>
          <w:szCs w:val="22"/>
        </w:rPr>
        <w:tab/>
        <w:t>Обоснование начальной (максимальной) цены закупочной сессии</w:t>
      </w:r>
    </w:p>
    <w:p>
      <w:pPr>
        <w:pStyle w:val="Normal"/>
        <w:jc w:val="center"/>
        <w:rPr/>
      </w:pPr>
      <w:r>
        <w:rPr>
          <w:b/>
          <w:sz w:val="22"/>
          <w:szCs w:val="22"/>
        </w:rPr>
        <w:t xml:space="preserve">на </w:t>
      </w:r>
      <w:r>
        <w:rPr>
          <w:b/>
          <w:sz w:val="22"/>
          <w:szCs w:val="22"/>
          <w:shd w:fill="FFFFFF" w:val="clear"/>
        </w:rPr>
        <w:t>оказание услуг по проведению предрейсовых медицинских осмотров водителей транспортных средств на 2026 год</w:t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Normal"/>
        <w:widowControl w:val="false"/>
        <w:ind w:firstLine="567"/>
        <w:jc w:val="both"/>
        <w:rPr/>
      </w:pPr>
      <w:r>
        <w:rPr>
          <w:sz w:val="22"/>
          <w:szCs w:val="22"/>
        </w:rPr>
        <w:t xml:space="preserve">Предметом государственного контракта является </w:t>
      </w:r>
      <w:r>
        <w:rPr>
          <w:sz w:val="22"/>
          <w:szCs w:val="22"/>
          <w:shd w:fill="FFFFFF" w:val="clear"/>
        </w:rPr>
        <w:t xml:space="preserve">оказание услуг </w:t>
      </w:r>
      <w:bookmarkStart w:id="0" w:name="__DdeLink__293_265773378"/>
      <w:r>
        <w:rPr>
          <w:sz w:val="22"/>
          <w:szCs w:val="22"/>
          <w:shd w:fill="FFFFFF" w:val="clear"/>
        </w:rPr>
        <w:t xml:space="preserve">по проведению предрейсовых медицинских осмотров водителей транспортных средств в 2026 </w:t>
      </w:r>
      <w:bookmarkEnd w:id="0"/>
      <w:r>
        <w:rPr>
          <w:rFonts w:eastAsia="Times New Roman" w:cs="Times New Roman"/>
          <w:color w:val="00000A"/>
          <w:sz w:val="22"/>
          <w:szCs w:val="22"/>
          <w:shd w:fill="FFFFFF" w:val="clear"/>
          <w:lang w:val="ru-RU" w:eastAsia="ru-RU" w:bidi="ar-SA"/>
        </w:rPr>
        <w:t xml:space="preserve">г. </w:t>
      </w:r>
    </w:p>
    <w:p>
      <w:pPr>
        <w:pStyle w:val="Normal"/>
        <w:widowControl w:val="false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 оказания услуги: по месту нахождения Исполнителя в пределах с. </w:t>
      </w:r>
      <w:r>
        <w:rPr>
          <w:b w:val="false"/>
          <w:bCs w:val="false"/>
          <w:sz w:val="22"/>
          <w:szCs w:val="22"/>
        </w:rPr>
        <w:t>Новобирилюссы</w:t>
      </w:r>
      <w:r>
        <w:rPr>
          <w:sz w:val="22"/>
          <w:szCs w:val="22"/>
        </w:rPr>
        <w:t xml:space="preserve"> Красноярского края.</w:t>
      </w:r>
    </w:p>
    <w:p>
      <w:pPr>
        <w:pStyle w:val="ConsPlusNormal"/>
        <w:widowControl w:val="false"/>
        <w:ind w:firstLine="567" w:left="0" w:right="0"/>
        <w:jc w:val="both"/>
        <w:rPr/>
      </w:pP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shd w:fill="FFFFFF" w:val="clear"/>
          <w:em w:val="none"/>
        </w:rPr>
        <w:t>Для расчета обоснования стартовой цены закупочной сессии с учетом требований                           ст. 22 Федерального закона РФ от 05.04.2013 № 44-ФЗ, а также Методических рекомендаций                        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Минэкономразвити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>я России от 02.10.2013 № 567, посредством применения метода сопоставимых рыночных цен (анализа рынка), были использованы цены медицинских учреждений, оказывающих данную услугу.</w:t>
      </w:r>
    </w:p>
    <w:p>
      <w:pPr>
        <w:pStyle w:val="ConsPlusNormal"/>
        <w:ind w:firstLine="567"/>
        <w:jc w:val="both"/>
        <w:rPr>
          <w:rFonts w:ascii="Times New Roman" w:hAnsi="Times New Roman" w:eastAsia="Arial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Arial" w:cs="Times New Roman" w:ascii="Times New Roman" w:hAnsi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ConsPlusNormal"/>
        <w:ind w:firstLine="567"/>
        <w:jc w:val="both"/>
        <w:rPr>
          <w:sz w:val="22"/>
          <w:szCs w:val="22"/>
        </w:rPr>
      </w:pPr>
      <w:r>
        <w:rPr>
          <w:rFonts w:eastAsia="Arial" w:cs="Times New Roman" w:ascii="Times New Roman" w:hAnsi="Times New Roman"/>
          <w:sz w:val="22"/>
          <w:szCs w:val="22"/>
          <w:shd w:fill="FFFFFF" w:val="clear"/>
        </w:rPr>
        <w:t>Расчет цен (руб.):</w:t>
      </w:r>
    </w:p>
    <w:tbl>
      <w:tblPr>
        <w:tblW w:w="10035" w:type="dxa"/>
        <w:jc w:val="left"/>
        <w:tblInd w:w="-43" w:type="dxa"/>
        <w:tblLayout w:type="fixed"/>
        <w:tblCellMar>
          <w:top w:w="55" w:type="dxa"/>
          <w:left w:w="2" w:type="dxa"/>
          <w:bottom w:w="55" w:type="dxa"/>
          <w:right w:w="48" w:type="dxa"/>
        </w:tblCellMar>
      </w:tblPr>
      <w:tblGrid>
        <w:gridCol w:w="1689"/>
        <w:gridCol w:w="918"/>
        <w:gridCol w:w="1300"/>
        <w:gridCol w:w="1200"/>
        <w:gridCol w:w="1146"/>
        <w:gridCol w:w="1327"/>
        <w:gridCol w:w="1313"/>
        <w:gridCol w:w="1140"/>
      </w:tblGrid>
      <w:tr>
        <w:trPr>
          <w:trHeight w:val="1080" w:hRule="atLeast"/>
        </w:trPr>
        <w:tc>
          <w:tcPr>
            <w:tcW w:w="168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Наименование услуги</w:t>
            </w:r>
          </w:p>
        </w:tc>
        <w:tc>
          <w:tcPr>
            <w:tcW w:w="91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Кол-во (усл.ед.)</w:t>
            </w:r>
          </w:p>
        </w:tc>
        <w:tc>
          <w:tcPr>
            <w:tcW w:w="250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ИИЦ</w:t>
            </w:r>
          </w:p>
          <w:p>
            <w:pPr>
              <w:pStyle w:val="Style18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Приказ КГБУЗ «Бирилюсская РБ» №119</w:t>
            </w:r>
            <w:r>
              <w:rPr>
                <w:rFonts w:eastAsia="Arial" w:cs="Arial"/>
                <w:b/>
                <w:bCs/>
                <w:sz w:val="22"/>
                <w:szCs w:val="22"/>
                <w:shd w:fill="FFFFFF" w:val="clear"/>
              </w:rPr>
              <w:t xml:space="preserve"> от 12</w:t>
            </w:r>
            <w:r>
              <w:rPr>
                <w:rFonts w:eastAsia="Arial" w:cs="Arial"/>
                <w:b/>
                <w:bCs/>
                <w:color w:val="00000A"/>
                <w:sz w:val="22"/>
                <w:szCs w:val="22"/>
                <w:shd w:fill="FFFFFF" w:val="clear"/>
                <w:lang w:val="ru-RU" w:eastAsia="ru-RU" w:bidi="ar-SA"/>
              </w:rPr>
              <w:t>.11.2025</w:t>
            </w:r>
          </w:p>
        </w:tc>
        <w:tc>
          <w:tcPr>
            <w:tcW w:w="247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/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>ИИЦ</w:t>
            </w:r>
          </w:p>
          <w:p>
            <w:pPr>
              <w:pStyle w:val="Style18"/>
              <w:jc w:val="center"/>
              <w:rPr/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>Приказ КГБУЗ «Манская РБ»</w:t>
            </w:r>
          </w:p>
          <w:p>
            <w:pPr>
              <w:pStyle w:val="Style18"/>
              <w:jc w:val="center"/>
              <w:rPr/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>№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shd w:fill="FFFFFF" w:val="clear"/>
                <w:em w:val="none"/>
              </w:rPr>
              <w:t>126-р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 xml:space="preserve"> от 07.03.2025</w:t>
            </w:r>
          </w:p>
        </w:tc>
        <w:tc>
          <w:tcPr>
            <w:tcW w:w="245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>ИИЦ</w:t>
            </w:r>
          </w:p>
          <w:p>
            <w:pPr>
              <w:pStyle w:val="Style18"/>
              <w:widowControl w:val="false"/>
              <w:jc w:val="center"/>
              <w:rPr/>
            </w:pP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 xml:space="preserve">Приказ </w:t>
            </w:r>
            <w:bookmarkStart w:id="1" w:name="__DdeLink__83225_3627609805"/>
            <w:bookmarkEnd w:id="1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highlight w:val="white"/>
                <w:u w:val="none"/>
                <w:em w:val="none"/>
              </w:rPr>
              <w:t>КГБУЗ «Емельяновская РБ» №39 от 28.02.24</w:t>
            </w:r>
          </w:p>
        </w:tc>
      </w:tr>
      <w:tr>
        <w:trPr>
          <w:trHeight w:val="1080" w:hRule="atLeast"/>
        </w:trPr>
        <w:tc>
          <w:tcPr>
            <w:tcW w:w="1689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918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за ед. (руб.)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(руб.)</w:t>
            </w:r>
          </w:p>
        </w:tc>
        <w:tc>
          <w:tcPr>
            <w:tcW w:w="11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Цена за ед. (руб.)</w:t>
            </w:r>
          </w:p>
        </w:tc>
        <w:tc>
          <w:tcPr>
            <w:tcW w:w="13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Сумма (руб.)</w:t>
            </w:r>
          </w:p>
        </w:tc>
        <w:tc>
          <w:tcPr>
            <w:tcW w:w="13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1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</w:tr>
      <w:tr>
        <w:trPr/>
        <w:tc>
          <w:tcPr>
            <w:tcW w:w="16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  <w:shd w:fill="FFFFFF" w:val="clear"/>
              </w:rPr>
              <w:t>Оказание услуг по проведению предрейсовых медицинских осмотров водителей транспортных средств в 2026 г.</w:t>
            </w:r>
          </w:p>
        </w:tc>
        <w:tc>
          <w:tcPr>
            <w:tcW w:w="9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245" w:leader="none"/>
                <w:tab w:val="left" w:pos="1395" w:leader="none"/>
              </w:tabs>
              <w:spacing w:before="170" w:after="119"/>
              <w:ind w:hanging="0" w:right="57"/>
              <w:jc w:val="center"/>
              <w:rPr/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ru-RU" w:bidi="ar-SA"/>
              </w:rPr>
              <w:t>40</w:t>
            </w:r>
          </w:p>
        </w:tc>
        <w:tc>
          <w:tcPr>
            <w:tcW w:w="13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>
                <w:rFonts w:ascii="Times New Roman" w:hAnsi="Times New Roman" w:eastAsia="Times New Roman" w:cs="Times New Roman"/>
                <w:b w:val="false"/>
                <w:bCs w:val="false"/>
                <w:color w:val="00000A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b w:val="false"/>
                <w:bCs w:val="false"/>
                <w:color w:val="00000A"/>
                <w:sz w:val="22"/>
                <w:szCs w:val="22"/>
                <w:lang w:val="ru-RU" w:eastAsia="ru-RU" w:bidi="ar-SA"/>
              </w:rPr>
              <w:t>75,00</w:t>
            </w:r>
          </w:p>
        </w:tc>
        <w:tc>
          <w:tcPr>
            <w:tcW w:w="12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A"/>
                <w:sz w:val="22"/>
                <w:szCs w:val="22"/>
                <w:lang w:val="ru-RU" w:eastAsia="ru-RU" w:bidi="ar-SA"/>
              </w:rPr>
              <w:t>3 000,00</w:t>
            </w:r>
          </w:p>
        </w:tc>
        <w:tc>
          <w:tcPr>
            <w:tcW w:w="11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ru-RU" w:eastAsia="ru-RU" w:bidi="ar-SA"/>
              </w:rPr>
              <w:t>85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3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3 400,00</w:t>
            </w:r>
          </w:p>
        </w:tc>
        <w:tc>
          <w:tcPr>
            <w:tcW w:w="13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112,00</w:t>
            </w:r>
          </w:p>
        </w:tc>
        <w:tc>
          <w:tcPr>
            <w:tcW w:w="11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4 480,00</w:t>
            </w:r>
          </w:p>
        </w:tc>
      </w:tr>
    </w:tbl>
    <w:p>
      <w:pPr>
        <w:pStyle w:val="BodyText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  <w:tab w:val="left" w:pos="1020" w:leader="none"/>
        </w:tabs>
        <w:spacing w:lineRule="auto" w:line="240"/>
        <w:jc w:val="both"/>
        <w:rPr/>
      </w:pPr>
      <w:r>
        <w:rPr>
          <w:sz w:val="22"/>
          <w:szCs w:val="22"/>
        </w:rPr>
        <w:t>Средняя арифметичес</w:t>
      </w:r>
      <w:r>
        <w:rPr>
          <w:rFonts w:eastAsia="Times New Roman" w:cs="Times New Roman"/>
          <w:color w:val="00000A"/>
          <w:kern w:val="0"/>
          <w:sz w:val="22"/>
          <w:szCs w:val="22"/>
          <w:lang w:val="ru-RU" w:eastAsia="ru-RU" w:bidi="ar-SA"/>
        </w:rPr>
        <w:t>кая величина цены услуги = 3 626,67 рублей</w:t>
      </w:r>
    </w:p>
    <w:p>
      <w:pPr>
        <w:pStyle w:val="Normal"/>
        <w:numPr>
          <w:ilvl w:val="1"/>
          <w:numId w:val="2"/>
        </w:numPr>
        <w:tabs>
          <w:tab w:val="clear" w:pos="708"/>
          <w:tab w:val="left" w:pos="960" w:leader="none"/>
        </w:tabs>
        <w:spacing w:lineRule="auto" w:line="240"/>
        <w:jc w:val="both"/>
        <w:rPr>
          <w:rFonts w:ascii="Times New Roman" w:hAnsi="Times New Roman" w:eastAsia="Times New Roman" w:cs="Times New Roman"/>
          <w:color w:val="00000A"/>
          <w:kern w:val="0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kern w:val="0"/>
          <w:sz w:val="22"/>
          <w:szCs w:val="22"/>
          <w:lang w:val="ru-RU" w:eastAsia="ru-RU" w:bidi="ar-SA"/>
        </w:rPr>
        <w:t xml:space="preserve"> </w:t>
      </w:r>
      <w:r>
        <w:rPr>
          <w:rFonts w:eastAsia="Times New Roman" w:cs="Times New Roman"/>
          <w:color w:val="00000A"/>
          <w:kern w:val="0"/>
          <w:sz w:val="22"/>
          <w:szCs w:val="22"/>
          <w:lang w:val="ru-RU" w:eastAsia="ru-RU" w:bidi="ar-SA"/>
        </w:rPr>
        <w:t>Среднее квадратичное отклонение = 19,1398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/>
        <w:jc w:val="both"/>
        <w:rPr>
          <w:rFonts w:ascii="Times New Roman" w:hAnsi="Times New Roman" w:eastAsia="Times New Roman" w:cs="Times New Roman"/>
          <w:color w:val="00000A"/>
          <w:kern w:val="0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kern w:val="0"/>
          <w:sz w:val="22"/>
          <w:szCs w:val="22"/>
          <w:lang w:val="ru-RU" w:eastAsia="ru-RU" w:bidi="ar-SA"/>
        </w:rPr>
        <w:t>1.3. Коэффициент вариации (%) = 21,11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</w:rPr>
      </w:pPr>
      <w:r>
        <w:rPr>
          <w:sz w:val="22"/>
          <w:szCs w:val="22"/>
        </w:rPr>
        <w:t xml:space="preserve">Таким образом, значение коэффициента вариации составляет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2"/>
          <w:szCs w:val="22"/>
          <w:lang w:val="ru-RU" w:eastAsia="ru-RU" w:bidi="ar-SA"/>
        </w:rPr>
        <w:t>21,11</w:t>
      </w:r>
      <w:r>
        <w:rPr>
          <w:sz w:val="22"/>
          <w:szCs w:val="22"/>
        </w:rPr>
        <w:t xml:space="preserve"> %, что не превышает 33%, совокупность значений, используемых в расчете, при определении начальной цены закупочной сессии, является однородной, дополнительного исследования рынка не требуется.</w:t>
      </w:r>
    </w:p>
    <w:p>
      <w:pPr>
        <w:pStyle w:val="BodyText"/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>
          <w:bCs/>
          <w:sz w:val="22"/>
          <w:szCs w:val="22"/>
        </w:rPr>
        <w:t xml:space="preserve">Стартовая цена закупочной сессии на право заключения государственного контракта на </w:t>
      </w:r>
      <w:bookmarkStart w:id="2" w:name="__DdeLink__123_1260754105111"/>
      <w:r>
        <w:rPr>
          <w:bCs/>
          <w:sz w:val="22"/>
          <w:szCs w:val="22"/>
        </w:rPr>
        <w:t xml:space="preserve">оказание услуг </w:t>
      </w:r>
      <w:bookmarkEnd w:id="2"/>
      <w:r>
        <w:rPr>
          <w:b w:val="false"/>
          <w:bCs w:val="false"/>
          <w:sz w:val="22"/>
          <w:szCs w:val="22"/>
          <w:shd w:fill="FFFFFF" w:val="clear"/>
        </w:rPr>
        <w:t xml:space="preserve">по проведению предрейсовых медицинских осмотров водителей транспортных средств в 2026 г.                 </w:t>
      </w:r>
      <w:r>
        <w:rPr>
          <w:bCs/>
          <w:sz w:val="22"/>
          <w:szCs w:val="22"/>
        </w:rPr>
        <w:t xml:space="preserve"> устанавливается в размере цены, по которой данный вид услуг может быть оказан на территории                     </w:t>
      </w:r>
      <w:r>
        <w:rPr>
          <w:sz w:val="22"/>
          <w:szCs w:val="22"/>
        </w:rPr>
        <w:t xml:space="preserve">с. Новобирилюссы Красноярского края: </w:t>
      </w:r>
      <w:r>
        <w:rPr>
          <w:rFonts w:eastAsia="Times New Roman" w:cs="Times New Roman"/>
          <w:b w:val="false"/>
          <w:bCs w:val="false"/>
          <w:color w:val="00000A"/>
          <w:sz w:val="22"/>
          <w:szCs w:val="22"/>
          <w:lang w:val="ru-RU" w:eastAsia="ru-RU" w:bidi="ar-SA"/>
        </w:rPr>
        <w:t>3 000</w:t>
      </w:r>
      <w:r>
        <w:rPr>
          <w:sz w:val="22"/>
          <w:szCs w:val="22"/>
        </w:rPr>
        <w:t xml:space="preserve"> (</w:t>
      </w: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  <w:t>три тысячи</w:t>
      </w:r>
      <w:r>
        <w:rPr>
          <w:sz w:val="22"/>
          <w:szCs w:val="22"/>
        </w:rPr>
        <w:t xml:space="preserve">) рублей </w:t>
      </w: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  <w:t>00</w:t>
      </w:r>
      <w:r>
        <w:rPr>
          <w:sz w:val="22"/>
          <w:szCs w:val="22"/>
        </w:rPr>
        <w:t xml:space="preserve"> копеек.</w:t>
      </w:r>
    </w:p>
    <w:p>
      <w:pPr>
        <w:pStyle w:val="BodyText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lineRule="auto" w:line="240" w:before="0" w:after="0"/>
        <w:ind w:hanging="0"/>
        <w:jc w:val="left"/>
        <w:rPr>
          <w:rFonts w:ascii="Times New Roman" w:hAnsi="Times New Roman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  <w:t>Заместитель начальника ОМТО                                                                                                 Л.М. Юлдашева</w:t>
      </w:r>
    </w:p>
    <w:p>
      <w:pPr>
        <w:pStyle w:val="BodyText"/>
        <w:bidi w:val="0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lineRule="auto" w:line="240" w:before="0" w:after="0"/>
        <w:ind w:hanging="0"/>
        <w:jc w:val="left"/>
        <w:rPr/>
      </w:pPr>
      <w:r>
        <w:rPr/>
      </w:r>
    </w:p>
    <w:sectPr>
      <w:type w:val="nextPage"/>
      <w:pgSz w:w="11906" w:h="16838"/>
      <w:pgMar w:left="1134" w:right="850" w:gutter="0" w:header="0" w:top="1134" w:footer="0" w:bottom="45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 Unicode MS" w:cs="Tahoma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c799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Маркеры списка"/>
    <w:qFormat/>
    <w:rsid w:val="000c799a"/>
    <w:rPr>
      <w:rFonts w:ascii="OpenSymbol" w:hAnsi="OpenSymbol" w:eastAsia="OpenSymbol" w:cs="OpenSymbol"/>
    </w:rPr>
  </w:style>
  <w:style w:type="character" w:styleId="Style15" w:customStyle="1">
    <w:name w:val="Символ нумерации"/>
    <w:qFormat/>
    <w:rsid w:val="000c799a"/>
    <w:rPr>
      <w:rFonts w:ascii="Times New Roman" w:hAnsi="Times New Roman"/>
      <w:sz w:val="28"/>
      <w:szCs w:val="34"/>
    </w:rPr>
  </w:style>
  <w:style w:type="character" w:styleId="Hyperlink" w:customStyle="1">
    <w:name w:val="Hyperlink"/>
    <w:rsid w:val="000c799a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rsid w:val="000c799a"/>
    <w:pPr>
      <w:spacing w:lineRule="auto" w:line="288" w:before="0" w:after="120"/>
    </w:pPr>
    <w:rPr/>
  </w:style>
  <w:style w:type="paragraph" w:styleId="List">
    <w:name w:val="List"/>
    <w:basedOn w:val="BodyText"/>
    <w:rsid w:val="000c799a"/>
    <w:pPr/>
    <w:rPr>
      <w:rFonts w:ascii="Arial" w:hAnsi="Arial" w:cs="Tahoma"/>
    </w:rPr>
  </w:style>
  <w:style w:type="paragraph" w:styleId="Caption" w:customStyle="1">
    <w:name w:val="Caption"/>
    <w:basedOn w:val="Normal"/>
    <w:qFormat/>
    <w:rsid w:val="000c799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11" w:customStyle="1">
    <w:name w:val="Заголовок 11"/>
    <w:basedOn w:val="Normal"/>
    <w:qFormat/>
    <w:rsid w:val="000c799a"/>
    <w:pPr>
      <w:keepNext w:val="true"/>
      <w:jc w:val="center"/>
      <w:outlineLvl w:val="0"/>
    </w:pPr>
    <w:rPr>
      <w:b/>
    </w:rPr>
  </w:style>
  <w:style w:type="paragraph" w:styleId="1" w:customStyle="1">
    <w:name w:val="Заголовок1"/>
    <w:basedOn w:val="Normal"/>
    <w:qFormat/>
    <w:rsid w:val="000c799a"/>
    <w:pPr>
      <w:keepNext w:val="true"/>
      <w:spacing w:before="240" w:after="120"/>
    </w:pPr>
    <w:rPr>
      <w:rFonts w:ascii="Liberation Sans" w:hAnsi="Liberation Sans" w:eastAsia="Lucida Sans Unicode" w:cs="Tahoma"/>
      <w:sz w:val="28"/>
      <w:szCs w:val="28"/>
    </w:rPr>
  </w:style>
  <w:style w:type="paragraph" w:styleId="Indexheading">
    <w:name w:val="index heading"/>
    <w:basedOn w:val="Normal"/>
    <w:qFormat/>
    <w:rsid w:val="000c799a"/>
    <w:pPr>
      <w:suppressLineNumbers/>
    </w:pPr>
    <w:rPr>
      <w:rFonts w:ascii="Arial" w:hAnsi="Arial" w:cs="Tahoma"/>
    </w:rPr>
  </w:style>
  <w:style w:type="paragraph" w:styleId="Title" w:customStyle="1">
    <w:name w:val="Title"/>
    <w:basedOn w:val="Normal"/>
    <w:qFormat/>
    <w:rsid w:val="000c799a"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Subtitle">
    <w:name w:val="Subtitle"/>
    <w:basedOn w:val="Title"/>
    <w:qFormat/>
    <w:rsid w:val="000c799a"/>
    <w:pPr>
      <w:jc w:val="center"/>
    </w:pPr>
    <w:rPr>
      <w:i/>
      <w:iCs/>
    </w:rPr>
  </w:style>
  <w:style w:type="paragraph" w:styleId="BodyTextIndent">
    <w:name w:val="Body Text Indent"/>
    <w:basedOn w:val="Normal"/>
    <w:rsid w:val="000c799a"/>
    <w:pPr>
      <w:ind w:firstLine="720"/>
      <w:jc w:val="both"/>
    </w:pPr>
    <w:rPr>
      <w:sz w:val="28"/>
      <w:szCs w:val="20"/>
    </w:rPr>
  </w:style>
  <w:style w:type="paragraph" w:styleId="Style18" w:customStyle="1">
    <w:name w:val="Содержимое таблицы"/>
    <w:basedOn w:val="Normal"/>
    <w:qFormat/>
    <w:rsid w:val="000c799a"/>
    <w:pPr>
      <w:suppressLineNumbers/>
    </w:pPr>
    <w:rPr/>
  </w:style>
  <w:style w:type="paragraph" w:styleId="Style19" w:customStyle="1">
    <w:name w:val="Заголовок таблицы"/>
    <w:basedOn w:val="Style18"/>
    <w:qFormat/>
    <w:rsid w:val="000c799a"/>
    <w:pPr>
      <w:jc w:val="center"/>
    </w:pPr>
    <w:rPr>
      <w:b/>
      <w:bCs/>
    </w:rPr>
  </w:style>
  <w:style w:type="paragraph" w:styleId="NormalWeb">
    <w:name w:val="Normal (Web)"/>
    <w:basedOn w:val="Normal"/>
    <w:qFormat/>
    <w:rsid w:val="000c799a"/>
    <w:pPr>
      <w:spacing w:before="280" w:after="280"/>
    </w:pPr>
    <w:rPr/>
  </w:style>
  <w:style w:type="paragraph" w:styleId="ConsPlusNormal" w:customStyle="1">
    <w:name w:val="ConsPlusNormal"/>
    <w:qFormat/>
    <w:rsid w:val="000c799a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 Unicode MS" w:cs="Arial"/>
      <w:color w:val="00000A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Application>LibreOffice/7.6.7.2$Linux_X86_64 LibreOffice_project/60$Build-2</Application>
  <AppVersion>15.0000</AppVersion>
  <Pages>1</Pages>
  <Words>290</Words>
  <Characters>1934</Characters>
  <CharactersWithSpaces>2373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2006-04-25T16:31:00Z</dcterms:created>
  <dc:creator>Medvedev</dc:creator>
  <dc:description/>
  <dc:language>ru-RU</dc:language>
  <cp:lastModifiedBy/>
  <cp:lastPrinted>2026-08-26T19:53:19Z</cp:lastPrinted>
  <dcterms:modified xsi:type="dcterms:W3CDTF">2026-08-26T19:51:40Z</dcterms:modified>
  <cp:revision>696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